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2"/>
        <w:ind w:firstLine="0"/>
        <w:jc w:val="center"/>
        <w:outlineLvl w:val="0"/>
        <w:rPr>
          <w:rFonts w:hint="default" w:ascii="方正小标宋_GBK" w:hAnsi="方正小标宋_GBK" w:eastAsia="方正小标宋_GBK" w:cs="方正小标宋_GBK"/>
          <w:b/>
          <w:bCs/>
          <w:sz w:val="36"/>
          <w:szCs w:val="36"/>
          <w:lang w:val="zh-TW" w:eastAsia="zh-TW"/>
        </w:rPr>
      </w:pPr>
      <w:r>
        <w:rPr>
          <w:rFonts w:ascii="方正小标宋_GBK" w:hAnsi="方正小标宋_GBK" w:eastAsia="方正小标宋_GBK" w:cs="方正小标宋_GBK"/>
          <w:b/>
          <w:bCs/>
          <w:sz w:val="36"/>
          <w:szCs w:val="36"/>
          <w:lang w:val="zh-TW" w:eastAsia="zh-TW"/>
        </w:rPr>
        <w:t>《 企业财务会计 》 课程标准</w:t>
      </w: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一、课程基本信息</w:t>
      </w:r>
    </w:p>
    <w:tbl>
      <w:tblPr>
        <w:tblStyle w:val="11"/>
        <w:tblW w:w="8522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8"/>
        <w:gridCol w:w="427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课程名称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:企业财务会计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课程编码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:03051018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课程类别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:专业必修课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学分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:5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学时：80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适用专业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大数据与会计,大数据与财务管理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开课单位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财经商贸学院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4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先修课程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会计基础(03041081),会计基础实训(03021015)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后续课程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: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会计师能力拓展(03031203),财务数字化应用(03031228)</w:t>
            </w:r>
          </w:p>
        </w:tc>
      </w:tr>
    </w:tbl>
    <w:p>
      <w:pPr>
        <w:pStyle w:val="12"/>
        <w:spacing w:line="240" w:lineRule="auto"/>
        <w:ind w:left="108" w:hanging="108"/>
        <w:jc w:val="left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p>
      <w:pPr>
        <w:pStyle w:val="1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20" w:lineRule="atLeast"/>
        <w:rPr>
          <w:rFonts w:ascii="Menlo" w:hAnsi="Menlo" w:eastAsia="Menlo" w:cs="Menlo"/>
          <w:color w:val="404040"/>
          <w:sz w:val="24"/>
          <w:szCs w:val="24"/>
        </w:rPr>
      </w:pPr>
    </w:p>
    <w:p>
      <w:pPr>
        <w:pStyle w:val="1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20" w:lineRule="atLeast"/>
        <w:rPr>
          <w:rFonts w:ascii="Times New Roman" w:hAnsi="Times New Roman" w:eastAsia="Times New Roman" w:cs="Times New Roman"/>
          <w:color w:val="404040"/>
          <w:sz w:val="24"/>
          <w:szCs w:val="24"/>
        </w:rPr>
      </w:pP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二、课程概述</w:t>
      </w: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（一）课程定位</w:t>
      </w:r>
    </w:p>
    <w:p>
      <w:pPr>
        <w:pStyle w:val="14"/>
        <w:rPr>
          <w:rFonts w:hint="default"/>
          <w:lang w:val="en-US"/>
        </w:rPr>
      </w:pPr>
      <w:r>
        <w:t>《</w:t>
      </w:r>
      <w:bookmarkStart w:id="0" w:name="OLE_LINK1"/>
      <w:r>
        <w:t>企业财务会计</w:t>
      </w:r>
      <w:bookmarkEnd w:id="0"/>
      <w:r>
        <w:t>》是大数据会计专业、大数据与财务管理专业的一门</w:t>
      </w:r>
      <w:r>
        <w:rPr>
          <w:rFonts w:hint="eastAsia"/>
          <w:lang w:val="en-US" w:eastAsia="zh-CN"/>
        </w:rPr>
        <w:t>职业</w:t>
      </w:r>
      <w:r>
        <w:t>核心课程，</w:t>
      </w:r>
      <w:r>
        <w:rPr>
          <w:rFonts w:hint="eastAsia"/>
          <w:lang w:val="en-US" w:eastAsia="zh-CN"/>
        </w:rPr>
        <w:t>同时也是专业核心课。本课程旨在</w:t>
      </w:r>
      <w:r>
        <w:t>培养学生掌握</w:t>
      </w:r>
      <w:r>
        <w:rPr>
          <w:rFonts w:hint="eastAsia"/>
          <w:lang w:val="en-US" w:eastAsia="zh-CN"/>
        </w:rPr>
        <w:t>企业日常经济业务的</w:t>
      </w:r>
      <w:r>
        <w:t>会计</w:t>
      </w:r>
      <w:r>
        <w:rPr>
          <w:rFonts w:hint="eastAsia"/>
          <w:lang w:val="en-US" w:eastAsia="zh-CN"/>
        </w:rPr>
        <w:t>核算方法和</w:t>
      </w:r>
      <w:r>
        <w:t>会计操作技能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以及培养学生具备从事企业财务会计工作的能力，为职业发展奠定坚实的基础。</w:t>
      </w:r>
    </w:p>
    <w:p>
      <w:pPr>
        <w:pStyle w:val="14"/>
      </w:pP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（二）课程基本理念</w:t>
      </w:r>
    </w:p>
    <w:p>
      <w:pPr>
        <w:pStyle w:val="14"/>
        <w:rPr>
          <w:rFonts w:hint="eastAsia"/>
          <w:lang w:val="zh-TW" w:eastAsia="zh-CN"/>
        </w:rPr>
      </w:pPr>
      <w:r>
        <w:rPr>
          <w:rFonts w:hint="eastAsia"/>
          <w:lang w:val="zh-TW" w:eastAsia="zh-CN"/>
        </w:rPr>
        <w:t>《</w:t>
      </w:r>
      <w:r>
        <w:rPr>
          <w:rFonts w:hint="eastAsia"/>
          <w:lang w:val="en-US" w:eastAsia="zh-CN"/>
        </w:rPr>
        <w:t>企业财务会计</w:t>
      </w:r>
      <w:r>
        <w:rPr>
          <w:rFonts w:hint="eastAsia"/>
          <w:lang w:val="zh-TW" w:eastAsia="zh-CN"/>
        </w:rPr>
        <w:t>》</w:t>
      </w:r>
      <w:r>
        <w:rPr>
          <w:lang w:val="zh-TW" w:eastAsia="zh-TW"/>
        </w:rPr>
        <w:t>作为专业核心课，</w:t>
      </w:r>
      <w:r>
        <w:rPr>
          <w:rFonts w:hint="eastAsia"/>
          <w:lang w:val="zh-TW" w:eastAsia="zh-TW"/>
        </w:rPr>
        <w:t>以就业为导向，依据《企业会计准则》和高职</w:t>
      </w:r>
      <w:r>
        <w:rPr>
          <w:rFonts w:hint="eastAsia"/>
          <w:lang w:val="en-US" w:eastAsia="zh-CN"/>
        </w:rPr>
        <w:t>大数据与会计和大数据与财务管理</w:t>
      </w:r>
      <w:r>
        <w:rPr>
          <w:rFonts w:hint="eastAsia"/>
          <w:lang w:val="zh-TW" w:eastAsia="zh-TW"/>
        </w:rPr>
        <w:t>专业</w:t>
      </w:r>
      <w:r>
        <w:rPr>
          <w:rFonts w:hint="eastAsia"/>
          <w:lang w:val="en-US" w:eastAsia="zh-CN"/>
        </w:rPr>
        <w:t>的国家</w:t>
      </w:r>
      <w:r>
        <w:rPr>
          <w:rFonts w:hint="eastAsia"/>
          <w:lang w:val="zh-TW" w:eastAsia="zh-TW"/>
        </w:rPr>
        <w:t>标准，围绕会计岗位能力需求设计教学内容。通过分模块讲解货币资金、</w:t>
      </w:r>
      <w:r>
        <w:rPr>
          <w:rFonts w:hint="eastAsia"/>
          <w:lang w:val="en-US" w:eastAsia="zh-CN"/>
        </w:rPr>
        <w:t>交易性金融资产、</w:t>
      </w:r>
      <w:r>
        <w:rPr>
          <w:rFonts w:hint="eastAsia"/>
          <w:lang w:val="zh-TW" w:eastAsia="zh-TW"/>
        </w:rPr>
        <w:t>存货、固定资产</w:t>
      </w:r>
      <w:r>
        <w:rPr>
          <w:rFonts w:hint="eastAsia"/>
          <w:lang w:val="zh-TW" w:eastAsia="zh-CN"/>
        </w:rPr>
        <w:t>、</w:t>
      </w:r>
      <w:r>
        <w:rPr>
          <w:rFonts w:hint="eastAsia"/>
          <w:lang w:val="en-US" w:eastAsia="zh-CN"/>
        </w:rPr>
        <w:t>应交税费</w:t>
      </w:r>
      <w:r>
        <w:rPr>
          <w:rFonts w:hint="eastAsia"/>
          <w:lang w:val="zh-TW" w:eastAsia="zh-TW"/>
        </w:rPr>
        <w:t>等会计要素的核算，强化学生处理日常经济业务的实践能力</w:t>
      </w:r>
      <w:r>
        <w:rPr>
          <w:rFonts w:hint="eastAsia"/>
          <w:lang w:val="zh-TW" w:eastAsia="zh-CN"/>
        </w:rPr>
        <w:t>。</w:t>
      </w:r>
    </w:p>
    <w:p>
      <w:pPr>
        <w:pStyle w:val="14"/>
        <w:rPr>
          <w:rFonts w:hint="eastAsia"/>
          <w:lang w:val="zh-TW" w:eastAsia="zh-CN"/>
        </w:rPr>
      </w:pP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（三）课程设计思路</w:t>
      </w:r>
    </w:p>
    <w:p>
      <w:pPr>
        <w:pStyle w:val="14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本课程标准</w:t>
      </w:r>
      <w:r>
        <w:t>是在专业指导委员会的指导下，反复</w:t>
      </w:r>
      <w:r>
        <w:rPr>
          <w:rFonts w:hint="eastAsia"/>
          <w:lang w:val="en-US" w:eastAsia="zh-CN"/>
        </w:rPr>
        <w:t>社会调研而</w:t>
      </w:r>
      <w:r>
        <w:t>设计的基于工作过程和工作岗位的项目化课程</w:t>
      </w:r>
      <w:r>
        <w:rPr>
          <w:rFonts w:hint="eastAsia"/>
          <w:lang w:eastAsia="zh-CN"/>
        </w:rPr>
        <w:t>。</w:t>
      </w:r>
      <w:r>
        <w:rPr>
          <w:lang w:val="zh-TW" w:eastAsia="zh-TW"/>
        </w:rPr>
        <w:t>在课程的设计上，以职业能力培养为重点，充分体现职业性、实践性和开放性的要求</w:t>
      </w:r>
      <w:r>
        <w:rPr>
          <w:rFonts w:hint="eastAsia"/>
          <w:lang w:val="zh-TW" w:eastAsia="zh-CN"/>
        </w:rPr>
        <w:t>，</w:t>
      </w:r>
      <w:r>
        <w:rPr>
          <w:lang w:val="zh-TW" w:eastAsia="zh-TW"/>
        </w:rPr>
        <w:t>紧紧盯住企业需求、牢牢贴近一线服务</w:t>
      </w:r>
      <w:r>
        <w:rPr>
          <w:rFonts w:hint="eastAsia"/>
          <w:lang w:val="zh-TW" w:eastAsia="zh-CN"/>
        </w:rPr>
        <w:t>。</w:t>
      </w:r>
      <w:r>
        <w:t>以工学结合为平台，以项目课程建设为根本，以任务为驱动，以典型项目为载体，紧紧依靠工作任务与职业能力分析的成果，严格按照工作体系设计课程，并选择教学内容，彻底打破学科体系的课程模式，实现课程体系按工作体系的重构。</w:t>
      </w: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三、课程目标</w:t>
      </w: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（一）总目标</w:t>
      </w:r>
    </w:p>
    <w:p>
      <w:pPr>
        <w:pStyle w:val="14"/>
        <w:spacing w:line="300" w:lineRule="auto"/>
        <w:ind w:firstLine="420"/>
        <w:rPr>
          <w:sz w:val="21"/>
          <w:szCs w:val="21"/>
          <w:lang w:val="zh-TW" w:eastAsia="zh-TW"/>
        </w:rPr>
      </w:pPr>
      <w:r>
        <w:rPr>
          <w:sz w:val="21"/>
          <w:szCs w:val="21"/>
          <w:lang w:val="zh-TW" w:eastAsia="zh-TW"/>
        </w:rPr>
        <w:t>通过对实际工作过程和企业经济业务的分析，结合</w:t>
      </w:r>
      <w:r>
        <w:rPr>
          <w:rFonts w:hint="eastAsia"/>
          <w:sz w:val="21"/>
          <w:szCs w:val="21"/>
          <w:lang w:val="en-US" w:eastAsia="zh-CN"/>
        </w:rPr>
        <w:t>会计专业技术资格（初级）</w:t>
      </w:r>
      <w:r>
        <w:rPr>
          <w:sz w:val="21"/>
          <w:szCs w:val="21"/>
          <w:lang w:val="zh-TW" w:eastAsia="zh-TW"/>
        </w:rPr>
        <w:t>考核标准，培养学生能运用会计基本原理和方法，对中小企业会计业务进行账务处理。具体会计核算和相关的成本计算、税额计算的能力；编制会计凭证、登记账簿和编制财务报告的能力；通过对情景和岗位的模拟，使学生能胜任资金核算、总账核算、报表处理等会计岗位的工作，具备良好的职业素质和职业意识。</w:t>
      </w:r>
    </w:p>
    <w:p>
      <w:pPr>
        <w:pStyle w:val="14"/>
        <w:spacing w:line="300" w:lineRule="auto"/>
        <w:ind w:firstLine="420"/>
        <w:rPr>
          <w:rFonts w:ascii="Calibri" w:hAnsi="Calibri" w:eastAsia="Calibri" w:cs="Calibri"/>
          <w:sz w:val="21"/>
          <w:szCs w:val="21"/>
          <w:lang w:val="zh-TW" w:eastAsia="zh-TW"/>
        </w:rPr>
      </w:pPr>
    </w:p>
    <w:p>
      <w:pPr>
        <w:pStyle w:val="3"/>
        <w:spacing w:line="400" w:lineRule="exact"/>
        <w:ind w:firstLine="420"/>
        <w:rPr>
          <w:rFonts w:ascii="仿宋" w:hAnsi="仿宋" w:eastAsia="仿宋" w:cs="仿宋"/>
          <w:color w:val="808080"/>
          <w:sz w:val="30"/>
          <w:szCs w:val="30"/>
          <w:u w:color="80808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（二）具体目标</w:t>
      </w:r>
    </w:p>
    <w:p>
      <w:pPr>
        <w:pStyle w:val="12"/>
        <w:spacing w:line="360" w:lineRule="exact"/>
        <w:ind w:firstLine="440"/>
        <w:rPr>
          <w:rFonts w:hint="default" w:ascii="仿宋" w:hAnsi="仿宋" w:eastAsia="仿宋" w:cs="仿宋"/>
          <w:sz w:val="22"/>
          <w:szCs w:val="22"/>
        </w:rPr>
      </w:pPr>
    </w:p>
    <w:tbl>
      <w:tblPr>
        <w:tblStyle w:val="11"/>
        <w:tblW w:w="8527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782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482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知识目标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K1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能对各类资产的取得、后续计量和处置进行账务处理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K2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能进行负债日常账务处理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K3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能进行所有者权益的日常账务处理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K4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能对收入的确认、费用的计量、利润的形成进行账务核算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K5</w:t>
            </w:r>
          </w:p>
        </w:tc>
        <w:tc>
          <w:tcPr>
            <w:tcW w:w="7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掌握财务报表的内容、结构和编制方法</w:t>
            </w:r>
          </w:p>
        </w:tc>
      </w:tr>
    </w:tbl>
    <w:p>
      <w:pPr>
        <w:pStyle w:val="12"/>
        <w:spacing w:line="240" w:lineRule="auto"/>
        <w:ind w:left="108" w:hanging="108"/>
        <w:jc w:val="left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240" w:lineRule="auto"/>
        <w:ind w:firstLine="0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360" w:lineRule="exact"/>
        <w:ind w:firstLine="440"/>
        <w:rPr>
          <w:rFonts w:hint="default" w:ascii="仿宋" w:hAnsi="仿宋" w:eastAsia="仿宋" w:cs="仿宋"/>
          <w:sz w:val="22"/>
          <w:szCs w:val="22"/>
        </w:rPr>
      </w:pPr>
    </w:p>
    <w:tbl>
      <w:tblPr>
        <w:tblStyle w:val="11"/>
        <w:tblW w:w="8527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782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482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技能目标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spacing w:line="360" w:lineRule="exact"/>
              <w:ind w:firstLine="0"/>
            </w:pPr>
            <w:r>
              <w:rPr>
                <w:lang w:val="zh-TW" w:eastAsia="zh-TW"/>
              </w:rPr>
              <w:t>能够熟练地对企业日常的经济业务进行核算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spacing w:line="360" w:lineRule="exact"/>
              <w:ind w:firstLine="0"/>
            </w:pPr>
            <w:r>
              <w:rPr>
                <w:lang w:val="zh-TW" w:eastAsia="zh-TW"/>
              </w:rPr>
              <w:t>能够编制企业的资产负债表、利润表和现金流量表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spacing w:line="360" w:lineRule="exact"/>
              <w:ind w:firstLine="0"/>
            </w:pPr>
            <w:r>
              <w:rPr>
                <w:lang w:val="zh-TW" w:eastAsia="zh-TW"/>
              </w:rPr>
              <w:t>能够运用知识分析和解决企业日常会计处理的一些常见问题</w:t>
            </w:r>
          </w:p>
        </w:tc>
      </w:tr>
    </w:tbl>
    <w:p>
      <w:pPr>
        <w:pStyle w:val="12"/>
        <w:spacing w:line="240" w:lineRule="auto"/>
        <w:ind w:left="108" w:hanging="108"/>
        <w:jc w:val="left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240" w:lineRule="auto"/>
        <w:ind w:firstLine="0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360" w:lineRule="exact"/>
        <w:ind w:firstLine="440"/>
        <w:rPr>
          <w:rFonts w:hint="default" w:ascii="仿宋" w:hAnsi="仿宋" w:eastAsia="仿宋" w:cs="仿宋"/>
          <w:sz w:val="22"/>
          <w:szCs w:val="22"/>
        </w:rPr>
      </w:pPr>
    </w:p>
    <w:tbl>
      <w:tblPr>
        <w:tblStyle w:val="11"/>
        <w:tblW w:w="8527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782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482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态度目标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自觉维护国家利益、社会利益、集体利益的职业意识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认真、细致、严谨的工作作风和敬业精神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exact"/>
              <w:ind w:firstLine="0"/>
              <w:rPr>
                <w:rFonts w:hint="defau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A3</w:t>
            </w:r>
          </w:p>
        </w:tc>
        <w:tc>
          <w:tcPr>
            <w:tcW w:w="7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4"/>
              <w:ind w:firstLine="0"/>
            </w:pPr>
            <w:r>
              <w:rPr>
                <w:sz w:val="21"/>
                <w:szCs w:val="21"/>
                <w:lang w:val="zh-TW" w:eastAsia="zh-TW"/>
              </w:rPr>
              <w:t>遵纪守法的思想观念和廉洁自律的会计品格；良好的职业习惯；求实创新的意识</w:t>
            </w:r>
          </w:p>
        </w:tc>
      </w:tr>
    </w:tbl>
    <w:p>
      <w:pPr>
        <w:pStyle w:val="12"/>
        <w:spacing w:line="240" w:lineRule="auto"/>
        <w:ind w:left="108" w:hanging="108"/>
        <w:jc w:val="left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240" w:lineRule="auto"/>
        <w:ind w:firstLine="0"/>
        <w:rPr>
          <w:rFonts w:hint="default" w:ascii="仿宋" w:hAnsi="仿宋" w:eastAsia="仿宋" w:cs="仿宋"/>
          <w:sz w:val="22"/>
          <w:szCs w:val="22"/>
        </w:rPr>
      </w:pPr>
    </w:p>
    <w:p>
      <w:pPr>
        <w:pStyle w:val="12"/>
        <w:spacing w:line="300" w:lineRule="auto"/>
        <w:ind w:firstLine="0"/>
        <w:rPr>
          <w:rFonts w:hint="default" w:ascii="Times New Roman" w:hAnsi="Times New Roman" w:eastAsia="Times New Roman" w:cs="Times New Roman"/>
          <w:color w:val="808080"/>
          <w:sz w:val="24"/>
          <w:szCs w:val="24"/>
          <w:u w:color="808080"/>
        </w:rPr>
      </w:pP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四、课程内容</w:t>
      </w: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tbl>
      <w:tblPr>
        <w:tblStyle w:val="11"/>
        <w:tblW w:w="807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6513"/>
        <w:gridCol w:w="85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模块（或子模块）名称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学时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资产业务处理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负债业务处理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所有者权益业务处理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收入、费用和利润业务处理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lang w:val="zh-TW" w:eastAsia="zh-TW"/>
              </w:rPr>
              <w:t>财务报表的编制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24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合  计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</w:pPr>
            <w:r>
              <w:rPr>
                <w:rFonts w:eastAsia="Arial Unicode MS" w:cs="Arial Unicode MS"/>
                <w:b/>
                <w:bCs/>
                <w:color w:val="000000"/>
                <w:u w:color="000000"/>
              </w:rPr>
              <w:t>80</w:t>
            </w:r>
          </w:p>
        </w:tc>
      </w:tr>
    </w:tbl>
    <w:p>
      <w:pPr>
        <w:pStyle w:val="12"/>
        <w:spacing w:line="240" w:lineRule="auto"/>
        <w:ind w:left="108" w:hanging="108"/>
        <w:jc w:val="left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p>
      <w:pPr>
        <w:pStyle w:val="12"/>
        <w:spacing w:line="24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p>
      <w:pPr>
        <w:pStyle w:val="12"/>
        <w:ind w:firstLine="0"/>
        <w:rPr>
          <w:rFonts w:hint="default" w:ascii="Times New Roman" w:hAnsi="Times New Roman" w:eastAsia="Times New Roman" w:cs="Times New Roman"/>
          <w:sz w:val="22"/>
          <w:szCs w:val="22"/>
        </w:rPr>
      </w:pPr>
    </w:p>
    <w:p>
      <w:pPr>
        <w:pStyle w:val="12"/>
        <w:numPr>
          <w:ilvl w:val="0"/>
          <w:numId w:val="1"/>
        </w:numPr>
        <w:spacing w:line="300" w:lineRule="auto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 xml:space="preserve">学习任务 </w:t>
      </w:r>
    </w:p>
    <w:p>
      <w:pPr>
        <w:pStyle w:val="12"/>
        <w:spacing w:line="300" w:lineRule="auto"/>
        <w:ind w:left="720"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p>
      <w:pPr>
        <w:pStyle w:val="15"/>
        <w:numPr>
          <w:ilvl w:val="0"/>
          <w:numId w:val="2"/>
        </w:numPr>
        <w:rPr>
          <w:rFonts w:hint="eastAsia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设计思路</w:t>
      </w:r>
    </w:p>
    <w:p>
      <w:pPr>
        <w:pStyle w:val="15"/>
        <w:ind w:left="1020" w:firstLine="0"/>
        <w:rPr>
          <w:rFonts w:hint="eastAsia" w:ascii="仿宋" w:hAnsi="仿宋" w:eastAsia="仿宋" w:cs="仿宋"/>
          <w:sz w:val="30"/>
          <w:szCs w:val="30"/>
          <w:lang w:val="zh-TW" w:eastAsia="zh-TW"/>
        </w:rPr>
      </w:pPr>
    </w:p>
    <w:p>
      <w:pPr>
        <w:pStyle w:val="12"/>
        <w:spacing w:line="312" w:lineRule="auto"/>
        <w:ind w:firstLine="485" w:firstLineChars="231"/>
        <w:rPr>
          <w:rFonts w:hint="default" w:ascii="宋体" w:hAnsi="宋体" w:eastAsia="宋体" w:cs="宋体"/>
          <w:lang w:val="zh-TW" w:eastAsia="zh-TW"/>
        </w:rPr>
      </w:pPr>
      <w:r>
        <w:rPr>
          <w:rFonts w:ascii="宋体" w:hAnsi="宋体" w:eastAsia="宋体" w:cs="宋体"/>
          <w:lang w:val="zh-TW" w:eastAsia="zh-TW"/>
        </w:rPr>
        <w:t>本门课程是《会计基础》《会计基础实训》等课程的后续课程，在学生具备会计基本常识的基础上，再通过本课程的学习，按照由浅入深的教学规律，讲清会计的基本理论；学习原始单据的识别与填写；强调老师的讲解与课堂操作相融合；通过项目教学法，分角色扮演法、分组教学法调动学生积极性，实施情景教学。</w:t>
      </w:r>
    </w:p>
    <w:p>
      <w:pPr>
        <w:pStyle w:val="12"/>
        <w:spacing w:line="312" w:lineRule="auto"/>
        <w:ind w:firstLine="315"/>
        <w:rPr>
          <w:rFonts w:hint="default" w:ascii="Calibri" w:hAnsi="Calibri" w:eastAsia="Calibri" w:cs="Calibri"/>
          <w:lang w:val="zh-TW" w:eastAsia="zh-TW"/>
        </w:rPr>
      </w:pPr>
    </w:p>
    <w:p>
      <w:pPr>
        <w:ind w:left="420"/>
        <w:rPr>
          <w:rFonts w:ascii="仿宋" w:hAnsi="仿宋" w:eastAsia="仿宋" w:cs="仿宋"/>
          <w:sz w:val="30"/>
          <w:szCs w:val="30"/>
          <w:lang w:val="zh-TW" w:eastAsia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/>
        </w:rPr>
        <w:t>(二)</w:t>
      </w:r>
      <w:r>
        <w:rPr>
          <w:rFonts w:ascii="仿宋" w:hAnsi="仿宋" w:eastAsia="仿宋" w:cs="仿宋"/>
          <w:sz w:val="30"/>
          <w:szCs w:val="30"/>
          <w:lang w:val="zh-TW" w:eastAsia="zh-TW"/>
        </w:rPr>
        <w:t>学习任务</w:t>
      </w:r>
    </w:p>
    <w:p>
      <w:pPr>
        <w:pStyle w:val="15"/>
        <w:ind w:left="420" w:firstLine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sz w:val="22"/>
          <w:szCs w:val="22"/>
          <w:lang w:val="zh-TW" w:eastAsia="zh-TW"/>
        </w:rPr>
        <w:t>注：本表格中的</w:t>
      </w:r>
      <w:r>
        <w:rPr>
          <w:rFonts w:ascii="仿宋" w:hAnsi="仿宋" w:eastAsia="仿宋" w:cs="仿宋"/>
          <w:sz w:val="22"/>
          <w:szCs w:val="22"/>
        </w:rPr>
        <w:t>“</w:t>
      </w:r>
      <w:r>
        <w:rPr>
          <w:rFonts w:ascii="仿宋" w:hAnsi="仿宋" w:eastAsia="仿宋" w:cs="仿宋"/>
          <w:sz w:val="22"/>
          <w:szCs w:val="22"/>
          <w:lang w:val="zh-TW" w:eastAsia="zh-TW"/>
        </w:rPr>
        <w:t>覆盖目标</w:t>
      </w:r>
      <w:r>
        <w:rPr>
          <w:rFonts w:ascii="仿宋" w:hAnsi="仿宋" w:eastAsia="仿宋" w:cs="仿宋"/>
          <w:sz w:val="22"/>
          <w:szCs w:val="22"/>
        </w:rPr>
        <w:t>”</w:t>
      </w:r>
      <w:r>
        <w:rPr>
          <w:rFonts w:ascii="仿宋" w:hAnsi="仿宋" w:eastAsia="仿宋" w:cs="仿宋"/>
          <w:sz w:val="22"/>
          <w:szCs w:val="22"/>
          <w:lang w:val="zh-TW" w:eastAsia="zh-TW"/>
        </w:rPr>
        <w:t>只需填写在第三部分所确定的学习目标的编号。</w:t>
      </w:r>
    </w:p>
    <w:p>
      <w:pPr>
        <w:pStyle w:val="15"/>
        <w:ind w:left="108" w:hanging="108"/>
        <w:jc w:val="left"/>
        <w:rPr>
          <w:rFonts w:ascii="仿宋" w:hAnsi="仿宋" w:eastAsia="仿宋" w:cs="仿宋"/>
          <w:b/>
          <w:bCs/>
          <w:sz w:val="32"/>
          <w:szCs w:val="32"/>
        </w:rPr>
      </w:pPr>
    </w:p>
    <w:tbl>
      <w:tblPr>
        <w:tblStyle w:val="11"/>
        <w:tblW w:w="830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2096"/>
        <w:gridCol w:w="4334"/>
        <w:gridCol w:w="111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300" w:lineRule="auto"/>
              <w:ind w:firstLine="0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任务</w:t>
            </w:r>
          </w:p>
          <w:p>
            <w:pPr>
              <w:pStyle w:val="12"/>
              <w:spacing w:line="300" w:lineRule="auto"/>
              <w:ind w:firstLine="0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30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任务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2"/>
              <w:spacing w:line="30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子任务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spacing w:line="300" w:lineRule="auto"/>
              <w:ind w:firstLine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覆盖</w:t>
            </w:r>
          </w:p>
          <w:p>
            <w:pPr>
              <w:pStyle w:val="12"/>
              <w:spacing w:line="300" w:lineRule="auto"/>
              <w:ind w:firstLine="0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目标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T1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>企业资产业务的账务处理</w:t>
            </w:r>
          </w:p>
        </w:tc>
        <w:tc>
          <w:tcPr>
            <w:tcW w:w="4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T1-1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货币资金的会计核算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T1-2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应收及预付款项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T1-3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交易性金融资产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T1-4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存货的计量与核算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T1-5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固定资产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T1-6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无形资产及长期待摊费用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T1-7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长期股权投资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T1-8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投资性房地产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pStyle w:val="15"/>
              <w:ind w:firstLine="0"/>
            </w:pPr>
            <w:r>
              <w:t>K1,S1,S3,A1,A2,A3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T2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>企业负债业务的账务处理</w:t>
            </w:r>
          </w:p>
        </w:tc>
        <w:tc>
          <w:tcPr>
            <w:tcW w:w="4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T2-1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短期借款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T2-2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应付及预收款项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T2-3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应付职工薪酬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T2-4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应交税费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pStyle w:val="15"/>
              <w:ind w:firstLine="0"/>
            </w:pPr>
            <w:r>
              <w:t>K2,S1,S3,A1,A2,A3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T3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>企业所有者权益业务的账务处理</w:t>
            </w:r>
          </w:p>
        </w:tc>
        <w:tc>
          <w:tcPr>
            <w:tcW w:w="4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T3-1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实收资本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T3-2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资本公积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T3-3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留存收益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pStyle w:val="15"/>
              <w:ind w:firstLine="0"/>
            </w:pPr>
            <w:r>
              <w:t>K3,S1,S3,A1,A2,A3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T4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>企业收入、费用、利润业务的账务处理</w:t>
            </w:r>
          </w:p>
        </w:tc>
        <w:tc>
          <w:tcPr>
            <w:tcW w:w="4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T4-1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收入的核算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T4-2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费用的核算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T4-3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利润的核算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pStyle w:val="15"/>
              <w:ind w:firstLine="0"/>
            </w:pPr>
            <w:r>
              <w:t>K4,S1,S3,A1,A2,A3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T5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>企业财务报表的结构与编制</w:t>
            </w:r>
          </w:p>
        </w:tc>
        <w:tc>
          <w:tcPr>
            <w:tcW w:w="4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T5-1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资产负债表的结构与编制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T5-2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利润表的结构与编制</w:t>
            </w:r>
          </w:p>
          <w:p>
            <w:pPr>
              <w:pStyle w:val="15"/>
              <w:ind w:firstLine="0"/>
            </w:pP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T5-3  </w:t>
            </w:r>
            <w:r>
              <w:rPr>
                <w:rFonts w:ascii="仿宋" w:hAnsi="仿宋" w:eastAsia="仿宋" w:cs="仿宋"/>
                <w:b/>
                <w:bCs/>
              </w:rPr>
              <w:t xml:space="preserve">| </w:t>
            </w:r>
            <w:r>
              <w:rPr>
                <w:rFonts w:ascii="仿宋" w:hAnsi="仿宋" w:eastAsia="仿宋" w:cs="仿宋"/>
                <w:b/>
                <w:bCs/>
                <w:lang w:val="zh-TW" w:eastAsia="zh-TW"/>
              </w:rPr>
              <w:t xml:space="preserve"> 认识现金流量表的结构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5"/>
              <w:ind w:firstLine="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pStyle w:val="15"/>
              <w:ind w:firstLine="0"/>
            </w:pPr>
            <w:r>
              <w:t>K5,S2,S3,A1,A2,A3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2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4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2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4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2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4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</w:tr>
    </w:tbl>
    <w:p>
      <w:pPr>
        <w:pStyle w:val="15"/>
        <w:ind w:firstLine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12"/>
        <w:ind w:firstLine="0"/>
        <w:rPr>
          <w:rFonts w:hint="default" w:ascii="Times New Roman" w:hAnsi="Times New Roman" w:eastAsia="Times New Roman" w:cs="Times New Roman"/>
          <w:sz w:val="24"/>
          <w:szCs w:val="24"/>
        </w:rPr>
      </w:pPr>
    </w:p>
    <w:p>
      <w:pPr>
        <w:pStyle w:val="12"/>
        <w:numPr>
          <w:ilvl w:val="0"/>
          <w:numId w:val="1"/>
        </w:numPr>
        <w:spacing w:line="300" w:lineRule="auto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实施建议</w:t>
      </w:r>
    </w:p>
    <w:p>
      <w:pPr>
        <w:pStyle w:val="12"/>
        <w:spacing w:line="300" w:lineRule="auto"/>
        <w:ind w:left="720"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CN"/>
        </w:rPr>
        <w:t>(一)</w:t>
      </w:r>
      <w:r>
        <w:rPr>
          <w:rFonts w:ascii="仿宋" w:hAnsi="仿宋" w:eastAsia="仿宋" w:cs="仿宋"/>
          <w:sz w:val="30"/>
          <w:szCs w:val="30"/>
          <w:lang w:val="zh-TW" w:eastAsia="zh-TW"/>
        </w:rPr>
        <w:t>组织实施建议</w:t>
      </w:r>
    </w:p>
    <w:p>
      <w:pPr>
        <w:pStyle w:val="14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本课程教学总学时</w:t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>学时，其中理论教学和实践教学分别是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学时和2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学时，理论教学为实践教学服务，围绕技能要求相关的知识和态度展开；</w:t>
      </w:r>
    </w:p>
    <w:p>
      <w:pPr>
        <w:pStyle w:val="14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以班级授课为教学的主要组织形式，</w:t>
      </w:r>
      <w:r>
        <w:rPr>
          <w:rFonts w:hint="eastAsia"/>
          <w:lang w:val="en-US" w:eastAsia="zh-CN"/>
        </w:rPr>
        <w:t>以企业发生的日常经济业务为核心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分模块设置理论教学内容，分组分岗位进行会计技能实操</w:t>
      </w:r>
      <w:r>
        <w:rPr>
          <w:rFonts w:hint="eastAsia"/>
        </w:rPr>
        <w:t>，提高学生的学习兴趣，提高教学效果。</w:t>
      </w:r>
    </w:p>
    <w:p>
      <w:pPr>
        <w:pStyle w:val="14"/>
        <w:rPr>
          <w:rFonts w:hint="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教学方法以多媒体教学为主，</w:t>
      </w:r>
      <w:r>
        <w:t>本课程</w:t>
      </w:r>
      <w:r>
        <w:rPr>
          <w:rFonts w:hint="eastAsia"/>
          <w:lang w:eastAsia="zh-CN"/>
        </w:rPr>
        <w:t>以六大会计要素为载体，将诚信准则、法治意识等思政元素融入各模块教学。按会计实际工作流程重构教学内容，设置出纳、往来结算、</w:t>
      </w:r>
      <w:r>
        <w:rPr>
          <w:rFonts w:hint="eastAsia"/>
          <w:lang w:val="en-US" w:eastAsia="zh-CN"/>
        </w:rPr>
        <w:t>总账、</w:t>
      </w:r>
      <w:r>
        <w:rPr>
          <w:rFonts w:hint="eastAsia"/>
          <w:lang w:eastAsia="zh-CN"/>
        </w:rPr>
        <w:t>存货等典型岗位项目，每个项目包含业务流程认知→单据填制→账务处理→报表分析四阶段训练。</w:t>
      </w:r>
    </w:p>
    <w:p>
      <w:pPr>
        <w:pStyle w:val="14"/>
        <w:rPr>
          <w:rFonts w:hint="eastAsia"/>
          <w:lang w:eastAsia="zh-CN"/>
        </w:rPr>
      </w:pP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(二)教材编写建议</w:t>
      </w:r>
    </w:p>
    <w:p>
      <w:pPr>
        <w:pStyle w:val="14"/>
        <w:ind w:left="0" w:leftChars="0" w:firstLine="48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材采用的是高等教育出版社的《初级会计实务》（第四版），是十四五职业教育国家规划教材，也是全国会计专业技术资格考试（初级）“课证融合”系列教材。本书依据全国初级会计专业技术资格考试“初级会计实务”科目大纲、最新会计准则，以及《财政部税务总局海关总署关于深化增值税改革有关政策的公告》《财政部关于修订印发2019年度一般企业财务报表格式的通知》等最新财税法规编写面成。全书内容包括企业六大会计要素的确认计量和记录，资产负债表、利润表、现金流量表、所有者权益变动表和附注的编制。在内容编排上，贯彻由浅入深、由易到难、循序渐进的原则，并在理论知识讲解中穿插“边学边做”“情景案例”“边学边思”“相关链接”等栏目，在突出会计实务操作讲解分析的同时，注重提高考试的针对性及学生独立分析与解决问题能力的培养。该书资源丰富，学生遇到难点可扫描二维码，观看微课视频，做到随扫随学。</w:t>
      </w:r>
    </w:p>
    <w:p>
      <w:pPr>
        <w:pStyle w:val="14"/>
        <w:ind w:left="0" w:leftChars="0" w:firstLine="480" w:firstLineChars="200"/>
        <w:rPr>
          <w:rFonts w:hint="eastAsia"/>
          <w:lang w:val="zh-TW" w:eastAsia="zh-TW"/>
        </w:rPr>
      </w:pPr>
    </w:p>
    <w:p>
      <w:pPr>
        <w:pStyle w:val="12"/>
        <w:spacing w:line="300" w:lineRule="auto"/>
        <w:ind w:firstLine="420"/>
        <w:rPr>
          <w:rFonts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(三)实验实训设备配置建议</w:t>
      </w:r>
    </w:p>
    <w:p>
      <w:pPr>
        <w:pStyle w:val="12"/>
        <w:spacing w:line="312" w:lineRule="auto"/>
        <w:ind w:left="0" w:leftChars="0" w:firstLine="480" w:firstLineChars="200"/>
        <w:rPr>
          <w:rFonts w:hint="default" w:ascii="Calibri" w:hAnsi="Calibri" w:eastAsia="Calibri" w:cs="Calibri"/>
          <w:lang w:eastAsia="zh-TW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本课程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实训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需要配置：1.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具有仿真会计综合实训室；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有一定数量紧密型工学结合的校外实习基地；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有较为丰富的课堂与学习指导教学资源，具体包括多媒体课件、实训软件、习题与实训、试题库、图书与文献资料、财经法规等。</w:t>
      </w:r>
    </w:p>
    <w:p>
      <w:pPr>
        <w:pStyle w:val="12"/>
        <w:spacing w:line="312" w:lineRule="auto"/>
        <w:ind w:firstLine="315"/>
        <w:rPr>
          <w:rFonts w:hint="default" w:ascii="Calibri" w:hAnsi="Calibri" w:eastAsia="Calibri" w:cs="Calibri"/>
          <w:lang w:eastAsia="zh-TW"/>
        </w:rPr>
      </w:pPr>
    </w:p>
    <w:p>
      <w:pPr>
        <w:pStyle w:val="12"/>
        <w:spacing w:line="300" w:lineRule="auto"/>
        <w:ind w:left="420" w:firstLine="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(四)课程资源开发与利用建议</w:t>
      </w:r>
    </w:p>
    <w:p>
      <w:pPr>
        <w:pStyle w:val="12"/>
        <w:spacing w:line="312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本课程从三个角度建议开发和利用网络课程资源库：1.建设案例库与习题库。要求资源库分层设计，如基础练习题（巩固分录）、综合题（整合章节知识）、复杂案例题（模拟企业真实情境）；数据来源真实，可从上市公司年报、财经新闻（如重大并购、债务重组事件）中提炼改编教学案例；资源库答案详解，不仅提供结果，更要阐述账务处理背后的逻辑和准则依据。2.模拟实训软件，利用网中网、科云、VBSE等主流财会实训平台。这是《企业财务会计》最重要的资源之一，能模拟企业从建账到报表的全流程。可以安排专门的实训周或分散在理论教学中同步进行。让学生以会计人员身份，完整处理1-2个月的企业账务，极大提升实操感。3.微课视频库。针对重难点章节（如：长期股权投资、金融资产、所得税会计等）制作5-10分钟的微课。视频应聚焦一个核心问题，用动画、图表等手段可视化逻辑流程。用于学生课前预习（引出问题）或课后复习（攻克难点），支持学生个性化、碎片化学习。</w:t>
      </w:r>
    </w:p>
    <w:p>
      <w:pPr>
        <w:pStyle w:val="12"/>
        <w:spacing w:line="300" w:lineRule="auto"/>
        <w:ind w:left="420" w:firstLine="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TW" w:eastAsia="zh-TW"/>
        </w:rPr>
        <w:t>(五)教师要求</w:t>
      </w:r>
    </w:p>
    <w:p>
      <w:pPr>
        <w:pStyle w:val="12"/>
        <w:spacing w:line="312" w:lineRule="auto"/>
        <w:ind w:left="0" w:leftChars="0" w:firstLine="480" w:firstLineChars="200"/>
        <w:rPr>
          <w:rFonts w:hint="default" w:ascii="Calibri" w:hAnsi="Calibri" w:eastAsia="Calibri" w:cs="Calibri"/>
          <w:lang w:eastAsia="zh-TW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本课程既是一门会计技能课，也是一门考证课，对课程教师要求比较高。教师需要具备：1.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熟悉财务会计核算理论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，能够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熟练并灵活掌握会计业务处理。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教师具有较强的基于工作过程的教学设计能力。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3.对会计专业技术资格考试（初级）中的《初级会计实务》大纲及考点要所有把握和相应的备考经验。4.会计岗位的挂职锻炼经历。</w:t>
      </w:r>
    </w:p>
    <w:p>
      <w:pPr>
        <w:pStyle w:val="12"/>
        <w:spacing w:line="300" w:lineRule="auto"/>
        <w:ind w:firstLine="420"/>
        <w:rPr>
          <w:rFonts w:hint="default" w:ascii="仿宋" w:hAnsi="仿宋" w:eastAsia="仿宋" w:cs="仿宋"/>
          <w:sz w:val="30"/>
          <w:szCs w:val="30"/>
          <w:lang w:val="zh-TW" w:eastAsia="zh-TW"/>
        </w:rPr>
      </w:pPr>
      <w:r>
        <w:rPr>
          <w:rFonts w:ascii="仿宋" w:hAnsi="仿宋" w:eastAsia="仿宋" w:cs="仿宋"/>
          <w:sz w:val="30"/>
          <w:szCs w:val="30"/>
          <w:lang w:val="zh-CN" w:eastAsia="zh-TW"/>
        </w:rPr>
        <w:t>(六)</w:t>
      </w:r>
      <w:r>
        <w:rPr>
          <w:rFonts w:ascii="仿宋" w:hAnsi="仿宋" w:eastAsia="仿宋" w:cs="仿宋"/>
          <w:sz w:val="30"/>
          <w:szCs w:val="30"/>
          <w:lang w:val="zh-TW" w:eastAsia="zh-TW"/>
        </w:rPr>
        <w:t>教学管理</w:t>
      </w:r>
    </w:p>
    <w:p>
      <w:pPr>
        <w:pStyle w:val="14"/>
        <w:ind w:left="0" w:leftChars="0" w:firstLine="480" w:firstLineChars="200"/>
        <w:rPr>
          <w:lang w:eastAsia="zh-TW"/>
        </w:rPr>
      </w:pPr>
      <w:r>
        <w:rPr>
          <w:lang w:eastAsia="zh-TW"/>
        </w:rPr>
        <w:t>教学管理是学校教学正常运行的基础也是提高教学质量的有效途径</w:t>
      </w:r>
      <w:r>
        <w:rPr>
          <w:rFonts w:hint="eastAsia"/>
          <w:lang w:eastAsia="zh-CN"/>
        </w:rPr>
        <w:t>。</w:t>
      </w:r>
      <w:r>
        <w:rPr>
          <w:lang w:eastAsia="zh-TW"/>
        </w:rPr>
        <w:t>教师：课前准备好教案、课件、视频资料、参考资料、讨论题单；课堂讲授或者组织学生完成相关任务；布置课后有关任务。学生：课前（后）准备好教师布置的互联网搜索案例、资料；课堂分组讨论案例，并总结结论；课堂随堂测试，课堂（后）作业等。</w:t>
      </w:r>
    </w:p>
    <w:p>
      <w:pPr>
        <w:pStyle w:val="14"/>
        <w:rPr>
          <w:lang w:eastAsia="zh-TW"/>
        </w:rPr>
      </w:pP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TW" w:eastAsia="zh-TW"/>
        </w:rPr>
        <w:t>七、课程考核与评价</w:t>
      </w:r>
    </w:p>
    <w:p>
      <w:pPr>
        <w:pStyle w:val="12"/>
        <w:spacing w:line="312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全课程成绩=平时成绩（30%）+期末闭卷考试成绩（70%）</w:t>
      </w:r>
    </w:p>
    <w:p>
      <w:pPr>
        <w:pStyle w:val="12"/>
        <w:spacing w:line="312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其中平时成绩构成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1.出勤成绩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2.课堂表现：观察学生的学习态度、课堂表现、课内分录编制情况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3.课后作业：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课程资源平台的利用情况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不定期抽查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TW" w:bidi="ar-SA"/>
        </w:rPr>
        <w:t>4.按照初级题型标准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  <w:t>，发布测试模拟卷。</w:t>
      </w:r>
    </w:p>
    <w:p>
      <w:pPr>
        <w:pStyle w:val="12"/>
        <w:spacing w:line="312" w:lineRule="auto"/>
        <w:ind w:left="0" w:leftChars="0" w:firstLine="480" w:firstLineChars="200"/>
        <w:rPr>
          <w:rFonts w:hint="default" w:ascii="宋体" w:hAnsi="宋体" w:eastAsia="宋体" w:cs="宋体"/>
          <w:color w:val="000000"/>
          <w:kern w:val="2"/>
          <w:sz w:val="24"/>
          <w:szCs w:val="24"/>
          <w:u w:color="000000"/>
          <w:lang w:val="en-US" w:eastAsia="zh-CN" w:bidi="ar-SA"/>
        </w:rPr>
      </w:pPr>
      <w:bookmarkStart w:id="1" w:name="_GoBack"/>
      <w:bookmarkEnd w:id="1"/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CN"/>
        </w:rPr>
        <w:t>八</w:t>
      </w:r>
      <w:r>
        <w:rPr>
          <w:rFonts w:ascii="黑体" w:hAnsi="黑体" w:eastAsia="黑体" w:cs="黑体"/>
          <w:sz w:val="32"/>
          <w:szCs w:val="32"/>
          <w:lang w:val="zh-TW" w:eastAsia="zh-TW"/>
        </w:rPr>
        <w:t>、课程负责人及教学团队</w:t>
      </w:r>
    </w:p>
    <w:p>
      <w:pPr>
        <w:pStyle w:val="14"/>
        <w:rPr>
          <w:lang w:eastAsia="zh-TW"/>
        </w:rPr>
      </w:pPr>
      <w:r>
        <w:rPr>
          <w:lang w:eastAsia="zh-TW"/>
        </w:rPr>
        <w:t>课程负责人：周如美</w:t>
      </w:r>
    </w:p>
    <w:p>
      <w:pPr>
        <w:pStyle w:val="12"/>
        <w:ind w:firstLine="480"/>
        <w:rPr>
          <w:rFonts w:hint="default" w:ascii="Times New Roman" w:hAnsi="Times New Roman" w:eastAsia="Times New Roman" w:cs="Times New Roman"/>
          <w:sz w:val="24"/>
          <w:szCs w:val="24"/>
          <w:lang w:val="zh-TW" w:eastAsia="zh-TW"/>
        </w:rPr>
      </w:pPr>
      <w:r>
        <w:rPr>
          <w:rFonts w:ascii="仿宋" w:hAnsi="仿宋" w:eastAsia="仿宋" w:cs="仿宋"/>
          <w:sz w:val="24"/>
          <w:szCs w:val="24"/>
          <w:lang w:val="zh-TW" w:eastAsia="zh-TW"/>
        </w:rPr>
        <w:t>韩艳梅</w:t>
      </w: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32"/>
          <w:szCs w:val="32"/>
          <w:lang w:val="zh-TW" w:eastAsia="zh-TW"/>
        </w:rPr>
      </w:pPr>
      <w:r>
        <w:rPr>
          <w:rFonts w:ascii="黑体" w:hAnsi="黑体" w:eastAsia="黑体" w:cs="黑体"/>
          <w:sz w:val="32"/>
          <w:szCs w:val="32"/>
          <w:lang w:val="zh-CN" w:eastAsia="zh-TW"/>
        </w:rPr>
        <w:t>九</w:t>
      </w:r>
      <w:r>
        <w:rPr>
          <w:rFonts w:ascii="黑体" w:hAnsi="黑体" w:eastAsia="黑体" w:cs="黑体"/>
          <w:sz w:val="32"/>
          <w:szCs w:val="32"/>
          <w:lang w:val="zh-TW" w:eastAsia="zh-TW"/>
        </w:rPr>
        <w:t>、 其它说明</w:t>
      </w:r>
    </w:p>
    <w:p>
      <w:pPr>
        <w:pStyle w:val="14"/>
        <w:rPr>
          <w:lang w:eastAsia="zh-TW"/>
        </w:rPr>
      </w:pPr>
      <w:r>
        <w:rPr>
          <w:lang w:eastAsia="zh-TW"/>
        </w:rPr>
        <w:t>该课程标准将</w:t>
      </w:r>
      <w:r>
        <w:rPr>
          <w:rFonts w:hint="eastAsia"/>
          <w:lang w:val="en-US" w:eastAsia="zh-CN"/>
        </w:rPr>
        <w:t>随着财税政策的变化而</w:t>
      </w:r>
      <w:r>
        <w:rPr>
          <w:lang w:eastAsia="zh-TW"/>
        </w:rPr>
        <w:t>与时俱进、不断完善。</w:t>
      </w:r>
    </w:p>
    <w:p>
      <w:pPr>
        <w:pStyle w:val="12"/>
        <w:ind w:firstLine="480"/>
        <w:rPr>
          <w:rFonts w:hint="default" w:ascii="Times New Roman" w:hAnsi="Times New Roman" w:eastAsia="Times New Roman" w:cs="Times New Roman"/>
          <w:sz w:val="24"/>
          <w:szCs w:val="24"/>
          <w:lang w:eastAsia="zh-TW"/>
        </w:rPr>
      </w:pPr>
    </w:p>
    <w:p>
      <w:pPr>
        <w:pStyle w:val="12"/>
        <w:spacing w:line="300" w:lineRule="auto"/>
        <w:ind w:firstLine="0"/>
        <w:rPr>
          <w:rFonts w:hint="default" w:ascii="黑体" w:hAnsi="黑体" w:eastAsia="黑体" w:cs="黑体"/>
          <w:sz w:val="28"/>
          <w:szCs w:val="28"/>
          <w:lang w:eastAsia="zh-TW"/>
        </w:rPr>
      </w:pPr>
      <w:r>
        <w:rPr>
          <w:rFonts w:ascii="黑体" w:hAnsi="黑体" w:eastAsia="黑体" w:cs="黑体"/>
          <w:sz w:val="28"/>
          <w:szCs w:val="28"/>
          <w:lang w:val="zh-TW" w:eastAsia="zh-TW"/>
        </w:rPr>
        <w:t>制定部门：财经商贸学院                      时间：</w:t>
      </w:r>
      <w:r>
        <w:rPr>
          <w:rFonts w:ascii="黑体" w:hAnsi="黑体" w:eastAsia="黑体" w:cs="黑体"/>
          <w:sz w:val="28"/>
          <w:szCs w:val="28"/>
          <w:lang w:eastAsia="zh-TW"/>
        </w:rPr>
        <w:t xml:space="preserve">2025-07-15    </w:t>
      </w:r>
    </w:p>
    <w:p>
      <w:pPr>
        <w:pStyle w:val="12"/>
        <w:spacing w:line="300" w:lineRule="auto"/>
        <w:ind w:firstLine="0"/>
        <w:rPr>
          <w:rFonts w:hint="default"/>
          <w:lang w:eastAsia="zh-TW"/>
        </w:rPr>
      </w:pPr>
      <w:r>
        <w:rPr>
          <w:rFonts w:ascii="黑体" w:hAnsi="黑体" w:eastAsia="黑体" w:cs="黑体"/>
          <w:sz w:val="28"/>
          <w:szCs w:val="28"/>
          <w:lang w:val="zh-TW" w:eastAsia="zh-TW"/>
        </w:rPr>
        <w:t>审</w:t>
      </w:r>
      <w:r>
        <w:rPr>
          <w:rFonts w:ascii="黑体" w:hAnsi="黑体" w:eastAsia="黑体" w:cs="黑体"/>
          <w:sz w:val="28"/>
          <w:szCs w:val="28"/>
          <w:lang w:eastAsia="zh-TW"/>
        </w:rPr>
        <w:t xml:space="preserve"> </w:t>
      </w:r>
      <w:r>
        <w:rPr>
          <w:rFonts w:ascii="黑体" w:hAnsi="黑体" w:eastAsia="黑体" w:cs="黑体"/>
          <w:sz w:val="28"/>
          <w:szCs w:val="28"/>
          <w:lang w:val="zh-TW" w:eastAsia="zh-TW"/>
        </w:rPr>
        <w:t>核</w:t>
      </w:r>
      <w:r>
        <w:rPr>
          <w:rFonts w:ascii="黑体" w:hAnsi="黑体" w:eastAsia="黑体" w:cs="黑体"/>
          <w:sz w:val="28"/>
          <w:szCs w:val="28"/>
          <w:lang w:eastAsia="zh-TW"/>
        </w:rPr>
        <w:t xml:space="preserve"> </w:t>
      </w:r>
      <w:r>
        <w:rPr>
          <w:rFonts w:ascii="黑体" w:hAnsi="黑体" w:eastAsia="黑体" w:cs="黑体"/>
          <w:sz w:val="28"/>
          <w:szCs w:val="28"/>
          <w:lang w:val="zh-TW" w:eastAsia="zh-TW"/>
        </w:rPr>
        <w:t xml:space="preserve">人：  周如美                              时间：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Menlo">
    <w:altName w:val="Segoe Print"/>
    <w:panose1 w:val="020B0609030804020204"/>
    <w:charset w:val="00"/>
    <w:family w:val="auto"/>
    <w:pitch w:val="default"/>
    <w:sig w:usb0="00000000" w:usb1="00000000" w:usb2="02000028" w:usb3="00000000" w:csb0="000001D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280"/>
        <w:tab w:val="clear" w:pos="8306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280"/>
        <w:tab w:val="clear" w:pos="8306"/>
      </w:tabs>
      <w:ind w:firstLine="0"/>
      <w:jc w:val="both"/>
    </w:pPr>
    <w:r>
      <w:rPr>
        <w:sz w:val="32"/>
        <w:szCs w:val="32"/>
      </w:rPr>
      <w:drawing>
        <wp:inline distT="0" distB="0" distL="0" distR="0">
          <wp:extent cx="2070735" cy="474345"/>
          <wp:effectExtent l="0" t="0" r="0" b="0"/>
          <wp:docPr id="1073741825" name="officeArt object" descr="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70859" cy="474879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t xml:space="preserve">                          </w:t>
    </w:r>
    <w:r>
      <w:rPr>
        <w:rFonts w:ascii="宋体" w:hAnsi="宋体" w:eastAsia="宋体" w:cs="宋体"/>
        <w:sz w:val="21"/>
        <w:szCs w:val="21"/>
        <w:lang w:val="zh-TW" w:eastAsia="zh-TW"/>
      </w:rPr>
      <w:t>《企业财务会计》课程标准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C56839"/>
    <w:multiLevelType w:val="multilevel"/>
    <w:tmpl w:val="66C56839"/>
    <w:lvl w:ilvl="0" w:tentative="0">
      <w:start w:val="5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A5040B4"/>
    <w:multiLevelType w:val="multilevel"/>
    <w:tmpl w:val="6A5040B4"/>
    <w:lvl w:ilvl="0" w:tentative="0">
      <w:start w:val="1"/>
      <w:numFmt w:val="japaneseCounting"/>
      <w:lvlText w:val="(%1)"/>
      <w:lvlJc w:val="left"/>
      <w:pPr>
        <w:ind w:left="1020" w:hanging="60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bordersDoNotSurroundHeader w:val="0"/>
  <w:bordersDoNotSurroundFooter w:val="0"/>
  <w:documentProtection w:enforcement="0"/>
  <w:defaultTabStop w:val="420"/>
  <w:autoHyphenation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jOGQxYmE3ZGFkZTcwODAzNzc2YzZmODExNTJkMTgifQ=="/>
  </w:docVars>
  <w:rsids>
    <w:rsidRoot w:val="006A2A34"/>
    <w:rsid w:val="002023E1"/>
    <w:rsid w:val="00214AEF"/>
    <w:rsid w:val="0022259E"/>
    <w:rsid w:val="00316B85"/>
    <w:rsid w:val="003A32B1"/>
    <w:rsid w:val="006A2A34"/>
    <w:rsid w:val="009B7E78"/>
    <w:rsid w:val="00BB605E"/>
    <w:rsid w:val="00BC6541"/>
    <w:rsid w:val="00E93A48"/>
    <w:rsid w:val="00F85230"/>
    <w:rsid w:val="00FB4D05"/>
    <w:rsid w:val="00FE191F"/>
    <w:rsid w:val="0E8F634C"/>
    <w:rsid w:val="28F31E95"/>
    <w:rsid w:val="2F67306C"/>
    <w:rsid w:val="3A7E3DCD"/>
    <w:rsid w:val="45194784"/>
    <w:rsid w:val="45A32084"/>
    <w:rsid w:val="52F606C5"/>
    <w:rsid w:val="5D2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60" w:lineRule="auto"/>
      <w:ind w:firstLine="200"/>
      <w:jc w:val="both"/>
    </w:pPr>
    <w:rPr>
      <w:rFonts w:ascii="宋体" w:hAnsi="宋体" w:eastAsia="宋体" w:cs="宋体"/>
      <w:color w:val="000000"/>
      <w:u w:color="000000"/>
      <w:lang w:val="en-US" w:eastAsia="zh-CN" w:bidi="ar-SA"/>
    </w:rPr>
  </w:style>
  <w:style w:type="paragraph" w:styleId="4">
    <w:name w:val="footer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ind w:firstLine="200"/>
    </w:pPr>
    <w:rPr>
      <w:rFonts w:ascii="Times New Roman" w:hAnsi="Times New Roman" w:eastAsia="Times New Roman" w:cs="Times New Roman"/>
      <w:color w:val="000000"/>
      <w:sz w:val="18"/>
      <w:szCs w:val="18"/>
      <w:u w:color="000000"/>
      <w:lang w:val="en-US" w:eastAsia="zh-CN" w:bidi="ar-SA"/>
    </w:rPr>
  </w:style>
  <w:style w:type="paragraph" w:styleId="5">
    <w:name w:val="header"/>
    <w:uiPriority w:val="0"/>
    <w:pPr>
      <w:widowControl w:val="0"/>
      <w:pBdr>
        <w:top w:val="none" w:color="auto" w:sz="0" w:space="0"/>
        <w:left w:val="none" w:color="auto" w:sz="0" w:space="0"/>
        <w:bottom w:val="single" w:color="000000" w:sz="6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  <w:ind w:firstLine="200"/>
      <w:jc w:val="center"/>
    </w:pPr>
    <w:rPr>
      <w:rFonts w:ascii="Times New Roman" w:hAnsi="Times New Roman" w:eastAsia="Arial Unicode MS" w:cs="Arial Unicode MS"/>
      <w:color w:val="000000"/>
      <w:sz w:val="18"/>
      <w:szCs w:val="18"/>
      <w:u w:color="000000"/>
      <w:lang w:val="en-US" w:eastAsia="zh-CN" w:bidi="ar-SA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uiPriority w:val="0"/>
    <w:rPr>
      <w:u w:val="single"/>
    </w:rPr>
  </w:style>
  <w:style w:type="table" w:customStyle="1" w:styleId="11">
    <w:name w:val="Table Normal"/>
    <w:autoRedefine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60" w:lineRule="auto"/>
      <w:ind w:firstLine="20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3">
    <w:name w:val="默认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sz w:val="22"/>
      <w:szCs w:val="22"/>
      <w:lang w:val="en-US" w:eastAsia="zh-CN" w:bidi="ar-SA"/>
    </w:rPr>
  </w:style>
  <w:style w:type="paragraph" w:customStyle="1" w:styleId="14">
    <w:name w:val="3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400" w:lineRule="atLeast"/>
      <w:ind w:firstLine="480"/>
      <w:jc w:val="both"/>
    </w:pPr>
    <w:rPr>
      <w:rFonts w:ascii="宋体" w:hAnsi="宋体" w:eastAsia="宋体" w:cs="宋体"/>
      <w:color w:val="000000"/>
      <w:kern w:val="2"/>
      <w:sz w:val="24"/>
      <w:szCs w:val="24"/>
      <w:u w:color="000000"/>
      <w:lang w:val="en-US" w:eastAsia="zh-CN" w:bidi="ar-SA"/>
    </w:rPr>
  </w:style>
  <w:style w:type="paragraph" w:styleId="15">
    <w:name w:val="List Paragraph"/>
    <w:autoRedefine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</Words>
  <Characters>1080</Characters>
  <Lines>9</Lines>
  <Paragraphs>2</Paragraphs>
  <TotalTime>2</TotalTime>
  <ScaleCrop>false</ScaleCrop>
  <LinksUpToDate>false</LinksUpToDate>
  <CharactersWithSpaces>1267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2019-12-24T14:27:00Z</dcterms:created>
  <dc:creator>84630</dc:creator>
  <cp:lastModifiedBy>美鬼</cp:lastModifiedBy>
  <dcterms:modified xsi:type="dcterms:W3CDTF">2025-09-13T08:17:50Z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158FF50CC4FD4FDF8BD1F10FD5AD156E_12</vt:lpwstr>
  </property>
</Properties>
</file>